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spacing w:after="80"/>
      </w:pPr>
      <w:r>
        <w:rPr>
          <w:rFonts w:ascii="Calibri" w:cs="Calibri" w:eastAsia="Calibri" w:hAnsi="Calibri"/>
          <w:b/>
          <w:bCs/>
          <w:color w:val="D4AF37"/>
          <w:spacing w:val="30"/>
          <w:sz w:val="18"/>
          <w:szCs w:val="18"/>
        </w:rPr>
        <w:t xml:space="preserve">STATEMENT OF WORK</w:t>
      </w:r>
    </w:p>
    <w:p>
      <w:pPr>
        <w:spacing w:after="200"/>
      </w:pPr>
      <w:r>
        <w:rPr>
          <w:rFonts w:ascii="Calibri" w:cs="Calibri" w:eastAsia="Calibri" w:hAnsi="Calibri"/>
          <w:b/>
          <w:bCs/>
          <w:color w:val="0F1115"/>
          <w:sz w:val="52"/>
          <w:szCs w:val="52"/>
        </w:rPr>
        <w:t xml:space="preserve">Performance marketing program for Sample Plumbing Co.</w:t>
      </w:r>
    </w:p>
    <w:p>
      <w:pPr>
        <w:spacing w:after="160" w:line="300"/>
      </w:pPr>
      <w:r>
        <w:rPr>
          <w:rFonts w:ascii="Calibri" w:cs="Calibri" w:eastAsia="Calibri" w:hAnsi="Calibri"/>
          <w:b w:val="false"/>
          <w:bCs w:val="false"/>
          <w:i w:val="false"/>
          <w:iCs w:val="false"/>
          <w:color w:val="0F1115"/>
          <w:sz w:val="22"/>
          <w:szCs w:val="22"/>
        </w:rPr>
        <w:t xml:space="preserve">Prepared by MagisterDigital.ai for Sample Plumbing Company LLC.</w:t>
      </w:r>
    </w:p>
    <w:p>
      <w:pPr>
        <w:spacing w:after="160" w:line="300"/>
      </w:pPr>
      <w:r>
        <w:rPr>
          <w:rFonts w:ascii="Calibri" w:cs="Calibri" w:eastAsia="Calibri" w:hAnsi="Calibri"/>
          <w:b w:val="false"/>
          <w:bCs w:val="false"/>
          <w:i w:val="false"/>
          <w:iCs w:val="false"/>
          <w:color w:val="0F1115"/>
          <w:sz w:val="22"/>
          <w:szCs w:val="22"/>
        </w:rPr>
        <w:t xml:space="preserve">Date: 2026-06-10    SOW: MD-2026-EXAMPLE</w:t>
      </w:r>
    </w:p>
    <w:p>
      <w:pPr>
        <w:spacing w:after="160" w:line="300"/>
      </w:pPr>
      <w:r>
        <w:rPr>
          <w:rFonts w:ascii="Calibri" w:cs="Calibri" w:eastAsia="Calibri" w:hAnsi="Calibri"/>
          <w:b w:val="false"/>
          <w:bCs w:val="false"/>
          <w:i w:val="false"/>
          <w:iCs w:val="false"/>
          <w:color w:val="0F1115"/>
          <w:sz w:val="22"/>
          <w:szCs w:val="22"/>
        </w:rPr>
        <w:t xml:space="preserve">This statement of work is valid for 30 days from the date above.</w:t>
      </w:r>
    </w:p>
    <w:p>
      <w:pPr>
        <w:pBdr>
          <w:bottom w:val="single" w:color="C0C3C7" w:sz="4" w:space="8"/>
        </w:pBdr>
        <w:spacing w:after="400" w:before="200"/>
      </w:pPr>
      <w:r>
        <w:rPr>
          <w:rFonts w:ascii="Calibri" w:cs="Calibri" w:eastAsia="Calibri" w:hAnsi="Calibri"/>
          <w:color w:val="5A5F66"/>
          <w:sz w:val="20"/>
          <w:szCs w:val="20"/>
        </w:rPr>
        <w:t xml:space="preserve">https://magisterdigital.ai</w:t>
      </w:r>
    </w:p>
    <w:p>
      <w:pPr>
        <w:pStyle w:val="Heading1"/>
        <w:pBdr>
          <w:bottom w:val="single" w:color="D4AF37" w:sz="6" w:space="4"/>
        </w:pBdr>
        <w:spacing w:after="160" w:before="360"/>
      </w:pPr>
      <w:r>
        <w:rPr>
          <w:rFonts w:ascii="Calibri" w:cs="Calibri" w:eastAsia="Calibri" w:hAnsi="Calibri"/>
          <w:b/>
          <w:bCs/>
          <w:color w:val="0F1115"/>
          <w:sz w:val="30"/>
          <w:szCs w:val="30"/>
        </w:rPr>
        <w:t xml:space="preserve">1. Overview</w:t>
      </w:r>
    </w:p>
    <w:p>
      <w:pPr>
        <w:spacing w:after="160" w:line="300"/>
      </w:pPr>
      <w:r>
        <w:rPr>
          <w:rFonts w:ascii="Calibri" w:cs="Calibri" w:eastAsia="Calibri" w:hAnsi="Calibri"/>
          <w:b w:val="false"/>
          <w:bCs w:val="false"/>
          <w:i w:val="false"/>
          <w:iCs w:val="false"/>
          <w:color w:val="0F1115"/>
          <w:sz w:val="22"/>
          <w:szCs w:val="22"/>
        </w:rPr>
        <w:t xml:space="preserve">This statement of work describes a marketing engagement between MagisterDigital.ai and Sample Plumbing Company LLC. The work covers paid search management, landing page development, and call tracking so that lead activity can be measured against advertising activity.</w:t>
      </w:r>
    </w:p>
    <w:p>
      <w:pPr>
        <w:spacing w:after="160" w:line="300"/>
      </w:pPr>
      <w:r>
        <w:rPr>
          <w:rFonts w:ascii="Calibri" w:cs="Calibri" w:eastAsia="Calibri" w:hAnsi="Calibri"/>
          <w:b w:val="false"/>
          <w:bCs w:val="false"/>
          <w:i w:val="false"/>
          <w:iCs w:val="false"/>
          <w:color w:val="0F1115"/>
          <w:sz w:val="22"/>
          <w:szCs w:val="22"/>
        </w:rPr>
        <w:t xml:space="preserve">The engagement is structured around work we control: campaign management, creative, measurement, and reporting. You own your ad accounts and pay ad platforms directly.</w:t>
      </w:r>
    </w:p>
    <w:p>
      <w:pPr>
        <w:pStyle w:val="Heading1"/>
        <w:pBdr>
          <w:bottom w:val="single" w:color="D4AF37" w:sz="6" w:space="4"/>
        </w:pBdr>
        <w:spacing w:after="160" w:before="360"/>
      </w:pPr>
      <w:r>
        <w:rPr>
          <w:rFonts w:ascii="Calibri" w:cs="Calibri" w:eastAsia="Calibri" w:hAnsi="Calibri"/>
          <w:b/>
          <w:bCs/>
          <w:color w:val="0F1115"/>
          <w:sz w:val="30"/>
          <w:szCs w:val="30"/>
        </w:rPr>
        <w:t xml:space="preserve">2. Where things stand today</w:t>
      </w:r>
    </w:p>
    <w:p>
      <w:pPr>
        <w:pStyle w:val="ListParagraph"/>
        <w:numPr>
          <w:ilvl w:val="0"/>
          <w:numId w:val="1"/>
        </w:numPr>
        <w:spacing w:after="80"/>
      </w:pPr>
      <w:r>
        <w:rPr>
          <w:rFonts w:ascii="Calibri" w:cs="Calibri" w:eastAsia="Calibri" w:hAnsi="Calibri"/>
          <w:color w:val="0F1115"/>
          <w:sz w:val="22"/>
          <w:szCs w:val="22"/>
        </w:rPr>
        <w:t xml:space="preserve">Your website receives traffic but has no call tracking, so calls cannot be tied to their source.</w:t>
      </w:r>
    </w:p>
    <w:p>
      <w:pPr>
        <w:pStyle w:val="ListParagraph"/>
        <w:numPr>
          <w:ilvl w:val="0"/>
          <w:numId w:val="1"/>
        </w:numPr>
        <w:spacing w:after="80"/>
      </w:pPr>
      <w:r>
        <w:rPr>
          <w:rFonts w:ascii="Calibri" w:cs="Calibri" w:eastAsia="Calibri" w:hAnsi="Calibri"/>
          <w:color w:val="0F1115"/>
          <w:sz w:val="22"/>
          <w:szCs w:val="22"/>
        </w:rPr>
        <w:t xml:space="preserve">Your Google Business Profile is active and collecting reviews.</w:t>
      </w:r>
    </w:p>
    <w:p>
      <w:pPr>
        <w:pStyle w:val="ListParagraph"/>
        <w:numPr>
          <w:ilvl w:val="0"/>
          <w:numId w:val="1"/>
        </w:numPr>
        <w:spacing w:after="80"/>
      </w:pPr>
      <w:r>
        <w:rPr>
          <w:rFonts w:ascii="Calibri" w:cs="Calibri" w:eastAsia="Calibri" w:hAnsi="Calibri"/>
          <w:color w:val="0F1115"/>
          <w:sz w:val="22"/>
          <w:szCs w:val="22"/>
        </w:rPr>
        <w:t xml:space="preserve">You are not currently running paid search in your service area.</w:t>
      </w:r>
    </w:p>
    <w:p>
      <w:pPr>
        <w:pStyle w:val="Heading1"/>
        <w:pBdr>
          <w:bottom w:val="single" w:color="D4AF37" w:sz="6" w:space="4"/>
        </w:pBdr>
        <w:spacing w:after="160" w:before="360"/>
      </w:pPr>
      <w:r>
        <w:rPr>
          <w:rFonts w:ascii="Calibri" w:cs="Calibri" w:eastAsia="Calibri" w:hAnsi="Calibri"/>
          <w:b/>
          <w:bCs/>
          <w:color w:val="0F1115"/>
          <w:sz w:val="30"/>
          <w:szCs w:val="30"/>
        </w:rPr>
        <w:t xml:space="preserve">3. Scope of services</w:t>
      </w:r>
    </w:p>
    <w:p>
      <w:pPr>
        <w:spacing w:after="160" w:line="300"/>
      </w:pPr>
      <w:r>
        <w:rPr>
          <w:rFonts w:ascii="Calibri" w:cs="Calibri" w:eastAsia="Calibri" w:hAnsi="Calibri"/>
          <w:b/>
          <w:bCs/>
          <w:i w:val="false"/>
          <w:iCs w:val="false"/>
          <w:color w:val="0F1115"/>
          <w:sz w:val="22"/>
          <w:szCs w:val="22"/>
        </w:rPr>
        <w:t xml:space="preserve">Recommended engagement tier: Growth.</w:t>
      </w:r>
    </w:p>
    <w:p>
      <w:pPr>
        <w:spacing w:after="160" w:line="300"/>
      </w:pPr>
      <w:r>
        <w:rPr>
          <w:rFonts w:ascii="Calibri" w:cs="Calibri" w:eastAsia="Calibri" w:hAnsi="Calibri"/>
          <w:b w:val="false"/>
          <w:bCs w:val="false"/>
          <w:i w:val="false"/>
          <w:iCs w:val="false"/>
          <w:color w:val="0F1115"/>
          <w:sz w:val="22"/>
          <w:szCs w:val="22"/>
        </w:rPr>
        <w:t xml:space="preserve">The input calls for two paid channels plus lead tracking, which matches the Growth tier scope.</w:t>
      </w:r>
    </w:p>
    <w:p>
      <w:pPr>
        <w:pStyle w:val="Heading2"/>
        <w:spacing w:after="120" w:before="240"/>
      </w:pPr>
      <w:r>
        <w:rPr>
          <w:rFonts w:ascii="Calibri" w:cs="Calibri" w:eastAsia="Calibri" w:hAnsi="Calibri"/>
          <w:b/>
          <w:bCs/>
          <w:color w:val="0F1115"/>
          <w:sz w:val="24"/>
          <w:szCs w:val="24"/>
        </w:rPr>
        <w:t xml:space="preserve">Paid search management</w:t>
      </w:r>
    </w:p>
    <w:p>
      <w:pPr>
        <w:spacing w:after="160" w:line="300"/>
      </w:pPr>
      <w:r>
        <w:rPr>
          <w:rFonts w:ascii="Calibri" w:cs="Calibri" w:eastAsia="Calibri" w:hAnsi="Calibri"/>
          <w:b w:val="false"/>
          <w:bCs w:val="false"/>
          <w:i w:val="false"/>
          <w:iCs w:val="false"/>
          <w:color w:val="0F1115"/>
          <w:sz w:val="22"/>
          <w:szCs w:val="22"/>
        </w:rPr>
        <w:t xml:space="preserve">Campaign build and ongoing management in your Google Ads account, focused on service-intent searches in your service area.</w:t>
      </w:r>
    </w:p>
    <w:p>
      <w:pPr>
        <w:pStyle w:val="ListParagraph"/>
        <w:numPr>
          <w:ilvl w:val="0"/>
          <w:numId w:val="1"/>
        </w:numPr>
        <w:spacing w:after="80"/>
      </w:pPr>
      <w:r>
        <w:rPr>
          <w:rFonts w:ascii="Calibri" w:cs="Calibri" w:eastAsia="Calibri" w:hAnsi="Calibri"/>
          <w:color w:val="0F1115"/>
          <w:sz w:val="22"/>
          <w:szCs w:val="22"/>
        </w:rPr>
        <w:t xml:space="preserve">Campaign and ad group structure built in your account</w:t>
      </w:r>
    </w:p>
    <w:p>
      <w:pPr>
        <w:pStyle w:val="ListParagraph"/>
        <w:numPr>
          <w:ilvl w:val="0"/>
          <w:numId w:val="1"/>
        </w:numPr>
        <w:spacing w:after="80"/>
      </w:pPr>
      <w:r>
        <w:rPr>
          <w:rFonts w:ascii="Calibri" w:cs="Calibri" w:eastAsia="Calibri" w:hAnsi="Calibri"/>
          <w:color w:val="0F1115"/>
          <w:sz w:val="22"/>
          <w:szCs w:val="22"/>
        </w:rPr>
        <w:t xml:space="preserve">Ad copy drafted and maintained</w:t>
      </w:r>
    </w:p>
    <w:p>
      <w:pPr>
        <w:pStyle w:val="ListParagraph"/>
        <w:numPr>
          <w:ilvl w:val="0"/>
          <w:numId w:val="1"/>
        </w:numPr>
        <w:spacing w:after="80"/>
      </w:pPr>
      <w:r>
        <w:rPr>
          <w:rFonts w:ascii="Calibri" w:cs="Calibri" w:eastAsia="Calibri" w:hAnsi="Calibri"/>
          <w:color w:val="0F1115"/>
          <w:sz w:val="22"/>
          <w:szCs w:val="22"/>
        </w:rPr>
        <w:t xml:space="preserve">Negative keyword and search term review as part of routine management</w:t>
      </w:r>
    </w:p>
    <w:p>
      <w:pPr>
        <w:pStyle w:val="ListParagraph"/>
        <w:numPr>
          <w:ilvl w:val="0"/>
          <w:numId w:val="1"/>
        </w:numPr>
        <w:spacing w:after="80"/>
      </w:pPr>
      <w:r>
        <w:rPr>
          <w:rFonts w:ascii="Calibri" w:cs="Calibri" w:eastAsia="Calibri" w:hAnsi="Calibri"/>
          <w:color w:val="0F1115"/>
          <w:sz w:val="22"/>
          <w:szCs w:val="22"/>
        </w:rPr>
        <w:t xml:space="preserve">Budget pacing review and adjustments</w:t>
      </w:r>
    </w:p>
    <w:p>
      <w:pPr>
        <w:spacing w:after="160" w:line="300"/>
      </w:pPr>
      <w:r>
        <w:rPr>
          <w:rFonts w:ascii="Calibri" w:cs="Calibri" w:eastAsia="Calibri" w:hAnsi="Calibri"/>
          <w:b w:val="false"/>
          <w:bCs w:val="false"/>
          <w:i/>
          <w:iCs/>
          <w:color w:val="0F1115"/>
          <w:sz w:val="22"/>
          <w:szCs w:val="22"/>
        </w:rPr>
        <w:t xml:space="preserve">Cadence: Ongoing management with monthly reporting</w:t>
      </w:r>
    </w:p>
    <w:p>
      <w:pPr>
        <w:pStyle w:val="Heading2"/>
        <w:spacing w:after="120" w:before="240"/>
      </w:pPr>
      <w:r>
        <w:rPr>
          <w:rFonts w:ascii="Calibri" w:cs="Calibri" w:eastAsia="Calibri" w:hAnsi="Calibri"/>
          <w:b/>
          <w:bCs/>
          <w:color w:val="0F1115"/>
          <w:sz w:val="24"/>
          <w:szCs w:val="24"/>
        </w:rPr>
        <w:t xml:space="preserve">Landing page program</w:t>
      </w:r>
    </w:p>
    <w:p>
      <w:pPr>
        <w:spacing w:after="160" w:line="300"/>
      </w:pPr>
      <w:r>
        <w:rPr>
          <w:rFonts w:ascii="Calibri" w:cs="Calibri" w:eastAsia="Calibri" w:hAnsi="Calibri"/>
          <w:b w:val="false"/>
          <w:bCs w:val="false"/>
          <w:i w:val="false"/>
          <w:iCs w:val="false"/>
          <w:color w:val="0F1115"/>
          <w:sz w:val="22"/>
          <w:szCs w:val="22"/>
        </w:rPr>
        <w:t xml:space="preserve">Design and build of dedicated landing pages for paid traffic, iterated based on observed performance.</w:t>
      </w:r>
    </w:p>
    <w:p>
      <w:pPr>
        <w:pStyle w:val="ListParagraph"/>
        <w:numPr>
          <w:ilvl w:val="0"/>
          <w:numId w:val="1"/>
        </w:numPr>
        <w:spacing w:after="80"/>
      </w:pPr>
      <w:r>
        <w:rPr>
          <w:rFonts w:ascii="Calibri" w:cs="Calibri" w:eastAsia="Calibri" w:hAnsi="Calibri"/>
          <w:color w:val="0F1115"/>
          <w:sz w:val="22"/>
          <w:szCs w:val="22"/>
        </w:rPr>
        <w:t xml:space="preserve">Initial landing page designed, built, and connected to tracking</w:t>
      </w:r>
    </w:p>
    <w:p>
      <w:pPr>
        <w:pStyle w:val="ListParagraph"/>
        <w:numPr>
          <w:ilvl w:val="0"/>
          <w:numId w:val="1"/>
        </w:numPr>
        <w:spacing w:after="80"/>
      </w:pPr>
      <w:r>
        <w:rPr>
          <w:rFonts w:ascii="Calibri" w:cs="Calibri" w:eastAsia="Calibri" w:hAnsi="Calibri"/>
          <w:color w:val="0F1115"/>
          <w:sz w:val="22"/>
          <w:szCs w:val="22"/>
        </w:rPr>
        <w:t xml:space="preserve">Revisions informed by collected data</w:t>
      </w:r>
    </w:p>
    <w:p>
      <w:pPr>
        <w:spacing w:after="160" w:line="300"/>
      </w:pPr>
      <w:r>
        <w:rPr>
          <w:rFonts w:ascii="Calibri" w:cs="Calibri" w:eastAsia="Calibri" w:hAnsi="Calibri"/>
          <w:b w:val="false"/>
          <w:bCs w:val="false"/>
          <w:i/>
          <w:iCs/>
          <w:color w:val="0F1115"/>
          <w:sz w:val="22"/>
          <w:szCs w:val="22"/>
        </w:rPr>
        <w:t xml:space="preserve">Cadence: Initial build in month one, then iteration</w:t>
      </w:r>
    </w:p>
    <w:p>
      <w:pPr>
        <w:pStyle w:val="Heading2"/>
        <w:spacing w:after="120" w:before="240"/>
      </w:pPr>
      <w:r>
        <w:rPr>
          <w:rFonts w:ascii="Calibri" w:cs="Calibri" w:eastAsia="Calibri" w:hAnsi="Calibri"/>
          <w:b/>
          <w:bCs/>
          <w:color w:val="0F1115"/>
          <w:sz w:val="24"/>
          <w:szCs w:val="24"/>
        </w:rPr>
        <w:t xml:space="preserve">Call tracking and measurement</w:t>
      </w:r>
    </w:p>
    <w:p>
      <w:pPr>
        <w:spacing w:after="160" w:line="300"/>
      </w:pPr>
      <w:r>
        <w:rPr>
          <w:rFonts w:ascii="Calibri" w:cs="Calibri" w:eastAsia="Calibri" w:hAnsi="Calibri"/>
          <w:b w:val="false"/>
          <w:bCs w:val="false"/>
          <w:i w:val="false"/>
          <w:iCs w:val="false"/>
          <w:color w:val="0F1115"/>
          <w:sz w:val="22"/>
          <w:szCs w:val="22"/>
        </w:rPr>
        <w:t xml:space="preserve">Call tracking installed so calls are attributable to their source. Platform fees are billed at cost.</w:t>
      </w:r>
    </w:p>
    <w:p>
      <w:pPr>
        <w:pStyle w:val="ListParagraph"/>
        <w:numPr>
          <w:ilvl w:val="0"/>
          <w:numId w:val="1"/>
        </w:numPr>
        <w:spacing w:after="80"/>
      </w:pPr>
      <w:r>
        <w:rPr>
          <w:rFonts w:ascii="Calibri" w:cs="Calibri" w:eastAsia="Calibri" w:hAnsi="Calibri"/>
          <w:color w:val="0F1115"/>
          <w:sz w:val="22"/>
          <w:szCs w:val="22"/>
        </w:rPr>
        <w:t xml:space="preserve">Tracking numbers configured for paid and organic sources</w:t>
      </w:r>
    </w:p>
    <w:p>
      <w:pPr>
        <w:pStyle w:val="ListParagraph"/>
        <w:numPr>
          <w:ilvl w:val="0"/>
          <w:numId w:val="1"/>
        </w:numPr>
        <w:spacing w:after="80"/>
      </w:pPr>
      <w:r>
        <w:rPr>
          <w:rFonts w:ascii="Calibri" w:cs="Calibri" w:eastAsia="Calibri" w:hAnsi="Calibri"/>
          <w:color w:val="0F1115"/>
          <w:sz w:val="22"/>
          <w:szCs w:val="22"/>
        </w:rPr>
        <w:t xml:space="preserve">Conversion events wired into the ad platform</w:t>
      </w:r>
    </w:p>
    <w:p>
      <w:pPr>
        <w:pStyle w:val="ListParagraph"/>
        <w:numPr>
          <w:ilvl w:val="0"/>
          <w:numId w:val="1"/>
        </w:numPr>
        <w:spacing w:after="80"/>
      </w:pPr>
      <w:r>
        <w:rPr>
          <w:rFonts w:ascii="Calibri" w:cs="Calibri" w:eastAsia="Calibri" w:hAnsi="Calibri"/>
          <w:color w:val="0F1115"/>
          <w:sz w:val="22"/>
          <w:szCs w:val="22"/>
        </w:rPr>
        <w:t xml:space="preserve">Monthly report covering spend, calls, and lead sources</w:t>
      </w:r>
    </w:p>
    <w:p>
      <w:pPr>
        <w:spacing w:after="160" w:line="300"/>
      </w:pPr>
      <w:r>
        <w:rPr>
          <w:rFonts w:ascii="Calibri" w:cs="Calibri" w:eastAsia="Calibri" w:hAnsi="Calibri"/>
          <w:b w:val="false"/>
          <w:bCs w:val="false"/>
          <w:i/>
          <w:iCs/>
          <w:color w:val="0F1115"/>
          <w:sz w:val="22"/>
          <w:szCs w:val="22"/>
        </w:rPr>
        <w:t xml:space="preserve">Cadence: Setup in month one, reporting monthly</w:t>
      </w:r>
    </w:p>
    <w:p>
      <w:pPr>
        <w:pStyle w:val="Heading1"/>
        <w:pBdr>
          <w:bottom w:val="single" w:color="D4AF37" w:sz="6" w:space="4"/>
        </w:pBdr>
        <w:spacing w:after="160" w:before="360"/>
      </w:pPr>
      <w:r>
        <w:rPr>
          <w:rFonts w:ascii="Calibri" w:cs="Calibri" w:eastAsia="Calibri" w:hAnsi="Calibri"/>
          <w:b/>
          <w:bCs/>
          <w:color w:val="0F1115"/>
          <w:sz w:val="30"/>
          <w:szCs w:val="30"/>
        </w:rPr>
        <w:t xml:space="preserve">4. Investment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50%"/>
            <w:shd w:fill="0F1115" w:val="clear"/>
            <w:tcMar>
              <w:top w:type="dxa" w:w="100"/>
              <w:left w:type="dxa" w:w="140"/>
              <w:bottom w:type="dxa" w:w="100"/>
              <w:right w:type="dxa" w:w="140"/>
            </w:tcMar>
          </w:tcPr>
          <w:p>
            <w:r>
              <w:rPr>
                <w:rFonts w:ascii="Calibri" w:cs="Calibri" w:eastAsia="Calibri" w:hAnsi="Calibri"/>
                <w:b/>
                <w:bCs/>
                <w:color w:val="FFFFFF"/>
                <w:sz w:val="21"/>
                <w:szCs w:val="21"/>
              </w:rPr>
              <w:t xml:space="preserve">Item</w:t>
            </w:r>
          </w:p>
        </w:tc>
        <w:tc>
          <w:tcPr>
            <w:tcW w:type="pct" w:w="25%"/>
            <w:shd w:fill="0F1115" w:val="clear"/>
            <w:tcMar>
              <w:top w:type="dxa" w:w="100"/>
              <w:left w:type="dxa" w:w="140"/>
              <w:bottom w:type="dxa" w:w="100"/>
              <w:right w:type="dxa" w:w="140"/>
            </w:tcMar>
          </w:tcPr>
          <w:p>
            <w:r>
              <w:rPr>
                <w:rFonts w:ascii="Calibri" w:cs="Calibri" w:eastAsia="Calibri" w:hAnsi="Calibri"/>
                <w:b/>
                <w:bCs/>
                <w:color w:val="FFFFFF"/>
                <w:sz w:val="21"/>
                <w:szCs w:val="21"/>
              </w:rPr>
              <w:t xml:space="preserve">Amount</w:t>
            </w:r>
          </w:p>
        </w:tc>
        <w:tc>
          <w:tcPr>
            <w:tcW w:type="pct" w:w="25%"/>
            <w:shd w:fill="0F1115" w:val="clear"/>
            <w:tcMar>
              <w:top w:type="dxa" w:w="100"/>
              <w:left w:type="dxa" w:w="140"/>
              <w:bottom w:type="dxa" w:w="100"/>
              <w:right w:type="dxa" w:w="140"/>
            </w:tcMar>
          </w:tcPr>
          <w:p>
            <w:r>
              <w:rPr>
                <w:rFonts w:ascii="Calibri" w:cs="Calibri" w:eastAsia="Calibri" w:hAnsi="Calibri"/>
                <w:b/>
                <w:bCs/>
                <w:color w:val="FFFFFF"/>
                <w:sz w:val="21"/>
                <w:szCs w:val="21"/>
              </w:rPr>
              <w:t xml:space="preserve">Billing</w:t>
            </w:r>
          </w:p>
        </w:tc>
      </w:tr>
      <w:tr>
        <w:tc>
          <w:tcPr>
            <w:tcMar>
              <w:top w:type="dxa" w:w="100"/>
              <w:left w:type="dxa" w:w="140"/>
              <w:bottom w:type="dxa" w:w="100"/>
              <w:right w:type="dxa" w:w="140"/>
            </w:tcMar>
          </w:tcPr>
          <w:p>
            <w:r>
              <w:rPr>
                <w:rFonts w:ascii="Calibri" w:cs="Calibri" w:eastAsia="Calibri" w:hAnsi="Calibri"/>
                <w:b w:val="false"/>
                <w:bCs w:val="false"/>
                <w:color w:val="0F1115"/>
                <w:sz w:val="21"/>
                <w:szCs w:val="21"/>
              </w:rPr>
              <w:t xml:space="preserve">Growth tier retainer</w:t>
            </w:r>
          </w:p>
        </w:tc>
        <w:tc>
          <w:tcPr>
            <w:tcMar>
              <w:top w:type="dxa" w:w="100"/>
              <w:left w:type="dxa" w:w="140"/>
              <w:bottom w:type="dxa" w:w="100"/>
              <w:right w:type="dxa" w:w="140"/>
            </w:tcMar>
          </w:tcPr>
          <w:p>
            <w:r>
              <w:rPr>
                <w:rFonts w:ascii="Calibri" w:cs="Calibri" w:eastAsia="Calibri" w:hAnsi="Calibri"/>
                <w:b w:val="false"/>
                <w:bCs w:val="false"/>
                <w:color w:val="0F1115"/>
                <w:sz w:val="21"/>
                <w:szCs w:val="21"/>
              </w:rPr>
              <w:t xml:space="preserve">$0 EXAMPLE ONLY</w:t>
            </w:r>
          </w:p>
        </w:tc>
        <w:tc>
          <w:tcPr>
            <w:tcMar>
              <w:top w:type="dxa" w:w="100"/>
              <w:left w:type="dxa" w:w="140"/>
              <w:bottom w:type="dxa" w:w="100"/>
              <w:right w:type="dxa" w:w="140"/>
            </w:tcMar>
          </w:tcPr>
          <w:p>
            <w:r>
              <w:rPr>
                <w:rFonts w:ascii="Calibri" w:cs="Calibri" w:eastAsia="Calibri" w:hAnsi="Calibri"/>
                <w:b w:val="false"/>
                <w:bCs w:val="false"/>
                <w:color w:val="0F1115"/>
                <w:sz w:val="21"/>
                <w:szCs w:val="21"/>
              </w:rPr>
              <w:t xml:space="preserve">monthly</w:t>
            </w:r>
          </w:p>
        </w:tc>
      </w:tr>
      <w:tr>
        <w:tc>
          <w:tcPr>
            <w:tcMar>
              <w:top w:type="dxa" w:w="100"/>
              <w:left w:type="dxa" w:w="140"/>
              <w:bottom w:type="dxa" w:w="100"/>
              <w:right w:type="dxa" w:w="140"/>
            </w:tcMar>
          </w:tcPr>
          <w:p>
            <w:r>
              <w:rPr>
                <w:rFonts w:ascii="Calibri" w:cs="Calibri" w:eastAsia="Calibri" w:hAnsi="Calibri"/>
                <w:b w:val="false"/>
                <w:bCs w:val="false"/>
                <w:color w:val="0F1115"/>
                <w:sz w:val="21"/>
                <w:szCs w:val="21"/>
              </w:rPr>
              <w:t xml:space="preserve">Landing page build</w:t>
            </w:r>
          </w:p>
        </w:tc>
        <w:tc>
          <w:tcPr>
            <w:tcMar>
              <w:top w:type="dxa" w:w="100"/>
              <w:left w:type="dxa" w:w="140"/>
              <w:bottom w:type="dxa" w:w="100"/>
              <w:right w:type="dxa" w:w="140"/>
            </w:tcMar>
          </w:tcPr>
          <w:p>
            <w:r>
              <w:rPr>
                <w:rFonts w:ascii="Calibri" w:cs="Calibri" w:eastAsia="Calibri" w:hAnsi="Calibri"/>
                <w:b w:val="false"/>
                <w:bCs w:val="false"/>
                <w:color w:val="0F1115"/>
                <w:sz w:val="21"/>
                <w:szCs w:val="21"/>
              </w:rPr>
              <w:t xml:space="preserve">$0 EXAMPLE ONLY</w:t>
            </w:r>
          </w:p>
        </w:tc>
        <w:tc>
          <w:tcPr>
            <w:tcMar>
              <w:top w:type="dxa" w:w="100"/>
              <w:left w:type="dxa" w:w="140"/>
              <w:bottom w:type="dxa" w:w="100"/>
              <w:right w:type="dxa" w:w="140"/>
            </w:tcMar>
          </w:tcPr>
          <w:p>
            <w:r>
              <w:rPr>
                <w:rFonts w:ascii="Calibri" w:cs="Calibri" w:eastAsia="Calibri" w:hAnsi="Calibri"/>
                <w:b w:val="false"/>
                <w:bCs w:val="false"/>
                <w:color w:val="0F1115"/>
                <w:sz w:val="21"/>
                <w:szCs w:val="21"/>
              </w:rPr>
              <w:t xml:space="preserve">one-time</w:t>
            </w:r>
          </w:p>
        </w:tc>
      </w:tr>
    </w:tbl>
    <w:p>
      <w:pPr>
        <w:spacing w:after="120"/>
      </w:pPr>
    </w:p>
    <w:p>
      <w:pPr>
        <w:spacing w:after="160" w:line="300"/>
      </w:pPr>
      <w:r>
        <w:rPr>
          <w:rFonts w:ascii="Calibri" w:cs="Calibri" w:eastAsia="Calibri" w:hAnsi="Calibri"/>
          <w:b w:val="false"/>
          <w:bCs w:val="false"/>
          <w:i w:val="false"/>
          <w:iCs w:val="false"/>
          <w:color w:val="0F1115"/>
          <w:sz w:val="22"/>
          <w:szCs w:val="22"/>
        </w:rPr>
        <w:t xml:space="preserve">EXAMPLE FILE: amounts here are placeholders for schema demonstration and do not represent the rate card.</w:t>
      </w:r>
    </w:p>
    <w:p>
      <w:pPr>
        <w:spacing w:after="160" w:line="300"/>
      </w:pPr>
      <w:r>
        <w:rPr>
          <w:rFonts w:ascii="Calibri" w:cs="Calibri" w:eastAsia="Calibri" w:hAnsi="Calibri"/>
          <w:b w:val="false"/>
          <w:bCs w:val="false"/>
          <w:i w:val="false"/>
          <w:iCs w:val="false"/>
          <w:color w:val="0F1115"/>
          <w:sz w:val="22"/>
          <w:szCs w:val="22"/>
        </w:rPr>
        <w:t xml:space="preserve">Advertising spend is paid by Sample Plumbing Company LLC directly to the ad platforms through accounts the client owns. Software platform fees are billed at cost.</w:t>
      </w:r>
    </w:p>
    <w:p>
      <w:pPr>
        <w:pStyle w:val="Heading1"/>
        <w:pBdr>
          <w:bottom w:val="single" w:color="D4AF37" w:sz="6" w:space="4"/>
        </w:pBdr>
        <w:spacing w:after="160" w:before="360"/>
      </w:pPr>
      <w:r>
        <w:rPr>
          <w:rFonts w:ascii="Calibri" w:cs="Calibri" w:eastAsia="Calibri" w:hAnsi="Calibri"/>
          <w:b/>
          <w:bCs/>
          <w:color w:val="0F1115"/>
          <w:sz w:val="30"/>
          <w:szCs w:val="30"/>
        </w:rPr>
        <w:t xml:space="preserve">5. Timeline</w:t>
      </w:r>
    </w:p>
    <w:p>
      <w:pPr>
        <w:pStyle w:val="Heading2"/>
        <w:spacing w:after="120" w:before="240"/>
      </w:pPr>
      <w:r>
        <w:rPr>
          <w:rFonts w:ascii="Calibri" w:cs="Calibri" w:eastAsia="Calibri" w:hAnsi="Calibri"/>
          <w:b/>
          <w:bCs/>
          <w:color w:val="0F1115"/>
          <w:sz w:val="24"/>
          <w:szCs w:val="24"/>
        </w:rPr>
        <w:t xml:space="preserve">Foundation (weeks 1 to 4)</w:t>
      </w:r>
    </w:p>
    <w:p>
      <w:pPr>
        <w:pStyle w:val="ListParagraph"/>
        <w:numPr>
          <w:ilvl w:val="0"/>
          <w:numId w:val="1"/>
        </w:numPr>
        <w:spacing w:after="80"/>
      </w:pPr>
      <w:r>
        <w:rPr>
          <w:rFonts w:ascii="Calibri" w:cs="Calibri" w:eastAsia="Calibri" w:hAnsi="Calibri"/>
          <w:color w:val="0F1115"/>
          <w:sz w:val="22"/>
          <w:szCs w:val="22"/>
        </w:rPr>
        <w:t xml:space="preserve">Call tracking installed</w:t>
      </w:r>
    </w:p>
    <w:p>
      <w:pPr>
        <w:pStyle w:val="ListParagraph"/>
        <w:numPr>
          <w:ilvl w:val="0"/>
          <w:numId w:val="1"/>
        </w:numPr>
        <w:spacing w:after="80"/>
      </w:pPr>
      <w:r>
        <w:rPr>
          <w:rFonts w:ascii="Calibri" w:cs="Calibri" w:eastAsia="Calibri" w:hAnsi="Calibri"/>
          <w:color w:val="0F1115"/>
          <w:sz w:val="22"/>
          <w:szCs w:val="22"/>
        </w:rPr>
        <w:t xml:space="preserve">Landing page built</w:t>
      </w:r>
    </w:p>
    <w:p>
      <w:pPr>
        <w:pStyle w:val="ListParagraph"/>
        <w:numPr>
          <w:ilvl w:val="0"/>
          <w:numId w:val="1"/>
        </w:numPr>
        <w:spacing w:after="80"/>
      </w:pPr>
      <w:r>
        <w:rPr>
          <w:rFonts w:ascii="Calibri" w:cs="Calibri" w:eastAsia="Calibri" w:hAnsi="Calibri"/>
          <w:color w:val="0F1115"/>
          <w:sz w:val="22"/>
          <w:szCs w:val="22"/>
        </w:rPr>
        <w:t xml:space="preserve">Campaigns structured</w:t>
      </w:r>
    </w:p>
    <w:p>
      <w:pPr>
        <w:pStyle w:val="Heading2"/>
        <w:spacing w:after="120" w:before="240"/>
      </w:pPr>
      <w:r>
        <w:rPr>
          <w:rFonts w:ascii="Calibri" w:cs="Calibri" w:eastAsia="Calibri" w:hAnsi="Calibri"/>
          <w:b/>
          <w:bCs/>
          <w:color w:val="0F1115"/>
          <w:sz w:val="24"/>
          <w:szCs w:val="24"/>
        </w:rPr>
        <w:t xml:space="preserve">Activation (weeks 4 to 12)</w:t>
      </w:r>
    </w:p>
    <w:p>
      <w:pPr>
        <w:pStyle w:val="ListParagraph"/>
        <w:numPr>
          <w:ilvl w:val="0"/>
          <w:numId w:val="1"/>
        </w:numPr>
        <w:spacing w:after="80"/>
      </w:pPr>
      <w:r>
        <w:rPr>
          <w:rFonts w:ascii="Calibri" w:cs="Calibri" w:eastAsia="Calibri" w:hAnsi="Calibri"/>
          <w:color w:val="0F1115"/>
          <w:sz w:val="22"/>
          <w:szCs w:val="22"/>
        </w:rPr>
        <w:t xml:space="preserve">Campaigns live</w:t>
      </w:r>
    </w:p>
    <w:p>
      <w:pPr>
        <w:pStyle w:val="ListParagraph"/>
        <w:numPr>
          <w:ilvl w:val="0"/>
          <w:numId w:val="1"/>
        </w:numPr>
        <w:spacing w:after="80"/>
      </w:pPr>
      <w:r>
        <w:rPr>
          <w:rFonts w:ascii="Calibri" w:cs="Calibri" w:eastAsia="Calibri" w:hAnsi="Calibri"/>
          <w:color w:val="0F1115"/>
          <w:sz w:val="22"/>
          <w:szCs w:val="22"/>
        </w:rPr>
        <w:t xml:space="preserve">Iteration based on collected data</w:t>
      </w:r>
    </w:p>
    <w:p>
      <w:pPr>
        <w:pStyle w:val="ListParagraph"/>
        <w:numPr>
          <w:ilvl w:val="0"/>
          <w:numId w:val="1"/>
        </w:numPr>
        <w:spacing w:after="80"/>
      </w:pPr>
      <w:r>
        <w:rPr>
          <w:rFonts w:ascii="Calibri" w:cs="Calibri" w:eastAsia="Calibri" w:hAnsi="Calibri"/>
          <w:color w:val="0F1115"/>
          <w:sz w:val="22"/>
          <w:szCs w:val="22"/>
        </w:rPr>
        <w:t xml:space="preserve">Monthly reporting begins</w:t>
      </w:r>
    </w:p>
    <w:p>
      <w:pPr>
        <w:pStyle w:val="Heading1"/>
        <w:pBdr>
          <w:bottom w:val="single" w:color="D4AF37" w:sz="6" w:space="4"/>
        </w:pBdr>
        <w:spacing w:after="160" w:before="360"/>
      </w:pPr>
      <w:r>
        <w:rPr>
          <w:rFonts w:ascii="Calibri" w:cs="Calibri" w:eastAsia="Calibri" w:hAnsi="Calibri"/>
          <w:b/>
          <w:bCs/>
          <w:color w:val="0F1115"/>
          <w:sz w:val="30"/>
          <w:szCs w:val="30"/>
        </w:rPr>
        <w:t xml:space="preserve">6. Assumptions and client responsibilities</w:t>
      </w:r>
    </w:p>
    <w:p>
      <w:pPr>
        <w:pStyle w:val="ListParagraph"/>
        <w:numPr>
          <w:ilvl w:val="0"/>
          <w:numId w:val="1"/>
        </w:numPr>
        <w:spacing w:after="80"/>
      </w:pPr>
      <w:r>
        <w:rPr>
          <w:rFonts w:ascii="Calibri" w:cs="Calibri" w:eastAsia="Calibri" w:hAnsi="Calibri"/>
          <w:color w:val="0F1115"/>
          <w:sz w:val="22"/>
          <w:szCs w:val="22"/>
        </w:rPr>
        <w:t xml:space="preserve">You provide access to your website, Google Business Profile, and ad accounts within the response window.</w:t>
      </w:r>
    </w:p>
    <w:p>
      <w:pPr>
        <w:pStyle w:val="ListParagraph"/>
        <w:numPr>
          <w:ilvl w:val="0"/>
          <w:numId w:val="1"/>
        </w:numPr>
        <w:spacing w:after="80"/>
      </w:pPr>
      <w:r>
        <w:rPr>
          <w:rFonts w:ascii="Calibri" w:cs="Calibri" w:eastAsia="Calibri" w:hAnsi="Calibri"/>
          <w:color w:val="0F1115"/>
          <w:sz w:val="22"/>
          <w:szCs w:val="22"/>
        </w:rPr>
        <w:t xml:space="preserve">Ad spend is paid by you directly to the platforms.</w:t>
      </w:r>
    </w:p>
    <w:p>
      <w:pPr>
        <w:pStyle w:val="ListParagraph"/>
        <w:numPr>
          <w:ilvl w:val="0"/>
          <w:numId w:val="1"/>
        </w:numPr>
        <w:spacing w:after="80"/>
      </w:pPr>
      <w:r>
        <w:rPr>
          <w:rFonts w:ascii="Calibri" w:cs="Calibri" w:eastAsia="Calibri" w:hAnsi="Calibri"/>
          <w:color w:val="0F1115"/>
          <w:sz w:val="22"/>
          <w:szCs w:val="22"/>
        </w:rPr>
        <w:t xml:space="preserve">Content approvals follow the response time in the Terms section.</w:t>
      </w:r>
    </w:p>
    <w:p>
      <w:pPr>
        <w:pStyle w:val="Heading1"/>
        <w:pBdr>
          <w:bottom w:val="single" w:color="D4AF37" w:sz="6" w:space="4"/>
        </w:pBdr>
        <w:spacing w:after="160" w:before="360"/>
      </w:pPr>
      <w:r>
        <w:rPr>
          <w:rFonts w:ascii="Calibri" w:cs="Calibri" w:eastAsia="Calibri" w:hAnsi="Calibri"/>
          <w:b/>
          <w:bCs/>
          <w:color w:val="0F1115"/>
          <w:sz w:val="30"/>
          <w:szCs w:val="30"/>
        </w:rPr>
        <w:t xml:space="preserve">7. Terms</w:t>
      </w:r>
    </w:p>
    <w:p>
      <w:pPr>
        <w:spacing w:after="160" w:line="300"/>
      </w:pPr>
      <w:r>
        <w:rPr>
          <w:rFonts w:ascii="Calibri" w:cs="Calibri" w:eastAsia="Calibri" w:hAnsi="Calibri"/>
          <w:b w:val="false"/>
          <w:bCs w:val="false"/>
          <w:i w:val="false"/>
          <w:iCs w:val="false"/>
          <w:color w:val="0F1115"/>
          <w:sz w:val="22"/>
          <w:szCs w:val="22"/>
        </w:rPr>
        <w:t xml:space="preserve">This statement of work is valid for 30 days from 2026-06-10.</w:t>
      </w:r>
    </w:p>
    <w:p>
      <w:pPr>
        <w:spacing w:after="160" w:line="300"/>
      </w:pPr>
      <w:r>
        <w:rPr>
          <w:rFonts w:ascii="Calibri" w:cs="Calibri" w:eastAsia="Calibri" w:hAnsi="Calibri"/>
          <w:b w:val="false"/>
          <w:bCs w:val="false"/>
          <w:i w:val="false"/>
          <w:iCs w:val="false"/>
          <w:color w:val="0F1115"/>
          <w:sz w:val="22"/>
          <w:szCs w:val="22"/>
        </w:rPr>
        <w:t xml:space="preserve">Sample Plumbing Company LLC will respond to requests for information, approvals, and access within 5 business days; timelines extend accordingly when responses take longer.</w:t>
      </w:r>
    </w:p>
    <w:p>
      <w:pPr>
        <w:spacing w:after="160" w:line="300"/>
      </w:pPr>
      <w:r>
        <w:rPr>
          <w:rFonts w:ascii="Calibri" w:cs="Calibri" w:eastAsia="Calibri" w:hAnsi="Calibri"/>
          <w:b w:val="false"/>
          <w:bCs w:val="false"/>
          <w:i w:val="false"/>
          <w:iCs w:val="false"/>
          <w:color w:val="0F1115"/>
          <w:sz w:val="22"/>
          <w:szCs w:val="22"/>
        </w:rPr>
        <w:t xml:space="preserve">Either party may terminate with 30 days written notice. Work completed through the termination date is billable.</w:t>
      </w:r>
    </w:p>
    <w:p>
      <w:pPr>
        <w:pStyle w:val="Heading1"/>
        <w:pBdr>
          <w:bottom w:val="single" w:color="D4AF37" w:sz="6" w:space="4"/>
        </w:pBdr>
        <w:spacing w:after="160" w:before="360"/>
      </w:pPr>
      <w:r>
        <w:rPr>
          <w:rFonts w:ascii="Calibri" w:cs="Calibri" w:eastAsia="Calibri" w:hAnsi="Calibri"/>
          <w:b/>
          <w:bCs/>
          <w:color w:val="0F1115"/>
          <w:sz w:val="30"/>
          <w:szCs w:val="30"/>
        </w:rPr>
        <w:t xml:space="preserve">8. Next steps</w:t>
      </w:r>
    </w:p>
    <w:p>
      <w:pPr>
        <w:pStyle w:val="ListParagraph"/>
        <w:numPr>
          <w:ilvl w:val="0"/>
          <w:numId w:val="1"/>
        </w:numPr>
        <w:spacing w:after="80"/>
      </w:pPr>
      <w:r>
        <w:rPr>
          <w:rFonts w:ascii="Calibri" w:cs="Calibri" w:eastAsia="Calibri" w:hAnsi="Calibri"/>
          <w:color w:val="0F1115"/>
          <w:sz w:val="22"/>
          <w:szCs w:val="22"/>
        </w:rPr>
        <w:t xml:space="preserve">1. Countersign this statement of work.</w:t>
      </w:r>
    </w:p>
    <w:p>
      <w:pPr>
        <w:pStyle w:val="ListParagraph"/>
        <w:numPr>
          <w:ilvl w:val="0"/>
          <w:numId w:val="1"/>
        </w:numPr>
        <w:spacing w:after="80"/>
      </w:pPr>
      <w:r>
        <w:rPr>
          <w:rFonts w:ascii="Calibri" w:cs="Calibri" w:eastAsia="Calibri" w:hAnsi="Calibri"/>
          <w:color w:val="0F1115"/>
          <w:sz w:val="22"/>
          <w:szCs w:val="22"/>
        </w:rPr>
        <w:t xml:space="preserve">2. Grant account access listed in the assumptions.</w:t>
      </w:r>
    </w:p>
    <w:p>
      <w:pPr>
        <w:pStyle w:val="ListParagraph"/>
        <w:numPr>
          <w:ilvl w:val="0"/>
          <w:numId w:val="1"/>
        </w:numPr>
        <w:spacing w:after="80"/>
      </w:pPr>
      <w:r>
        <w:rPr>
          <w:rFonts w:ascii="Calibri" w:cs="Calibri" w:eastAsia="Calibri" w:hAnsi="Calibri"/>
          <w:color w:val="0F1115"/>
          <w:sz w:val="22"/>
          <w:szCs w:val="22"/>
        </w:rPr>
        <w:t xml:space="preserve">3. Kickoff call to confirm the month one plan.</w:t>
      </w:r>
    </w:p>
    <w:p>
      <w:pPr>
        <w:pStyle w:val="Heading1"/>
        <w:pBdr>
          <w:bottom w:val="single" w:color="D4AF37" w:sz="6" w:space="4"/>
        </w:pBdr>
        <w:spacing w:after="160" w:before="360"/>
      </w:pPr>
      <w:r>
        <w:rPr>
          <w:rFonts w:ascii="Calibri" w:cs="Calibri" w:eastAsia="Calibri" w:hAnsi="Calibri"/>
          <w:b/>
          <w:bCs/>
          <w:color w:val="0F1115"/>
          <w:sz w:val="30"/>
          <w:szCs w:val="30"/>
        </w:rPr>
        <w:t xml:space="preserve">9. Signatures</w:t>
      </w:r>
    </w:p>
    <w:p>
      <w:pPr>
        <w:spacing w:after="160" w:line="300"/>
      </w:pPr>
      <w:r>
        <w:rPr>
          <w:rFonts w:ascii="Calibri" w:cs="Calibri" w:eastAsia="Calibri" w:hAnsi="Calibri"/>
          <w:b w:val="false"/>
          <w:bCs w:val="false"/>
          <w:i w:val="false"/>
          <w:iCs w:val="false"/>
          <w:color w:val="0F1115"/>
          <w:sz w:val="22"/>
          <w:szCs w:val="22"/>
        </w:rPr>
        <w:t xml:space="preserve">Agreed and accepted by the parties below.</w:t>
      </w:r>
    </w:p>
    <w:tbl>
      <w:tblPr>
        <w:tblW w:type="pct" w:w="100%"/>
        <w:tblBorders>
          <w:top w:val="none"/>
          <w:left w:val="none"/>
          <w:bottom w:val="none"/>
          <w:right w:val="none"/>
          <w:insideH w:val="none"/>
          <w:insideV w:val="none"/>
        </w:tblBorders>
      </w:tblPr>
      <w:tblGrid>
        <w:gridCol w:w="100"/>
        <w:gridCol w:w="100"/>
      </w:tblGrid>
      <w:tr>
        <w:tc>
          <w:tcPr>
            <w:tcW w:type="pct" w:w="50%"/>
            <w:tcMar>
              <w:right w:type="dxa" w:w="300"/>
            </w:tcMar>
          </w:tcPr>
          <w:p>
            <w:pPr>
              <w:spacing w:after="160" w:line="300"/>
            </w:pPr>
            <w:r>
              <w:rPr>
                <w:rFonts w:ascii="Calibri" w:cs="Calibri" w:eastAsia="Calibri" w:hAnsi="Calibri"/>
                <w:b/>
                <w:bCs/>
                <w:i w:val="false"/>
                <w:iCs w:val="false"/>
                <w:color w:val="0F1115"/>
                <w:sz w:val="22"/>
                <w:szCs w:val="22"/>
              </w:rPr>
              <w:t xml:space="preserve">MagisterDigital.ai</w:t>
            </w:r>
          </w:p>
          <w:p>
            <w:pPr>
              <w:pBdr>
                <w:top w:val="single" w:color="0F1115" w:sz="4" w:space="2"/>
              </w:pBdr>
              <w:spacing w:after="60" w:before="480"/>
            </w:pPr>
            <w:r>
              <w:rPr>
                <w:rFonts w:ascii="Calibri" w:cs="Calibri" w:eastAsia="Calibri" w:hAnsi="Calibri"/>
                <w:color w:val="5A5F66"/>
                <w:sz w:val="20"/>
                <w:szCs w:val="20"/>
              </w:rPr>
              <w:t xml:space="preserve">Signature</w:t>
            </w:r>
          </w:p>
          <w:p>
            <w:pPr>
              <w:spacing w:after="160" w:line="300"/>
            </w:pPr>
            <w:r>
              <w:rPr>
                <w:rFonts w:ascii="Calibri" w:cs="Calibri" w:eastAsia="Calibri" w:hAnsi="Calibri"/>
                <w:b w:val="false"/>
                <w:bCs w:val="false"/>
                <w:i w:val="false"/>
                <w:iCs w:val="false"/>
                <w:color w:val="0F1115"/>
                <w:sz w:val="22"/>
                <w:szCs w:val="22"/>
              </w:rPr>
              <w:t xml:space="preserve">Dimitry Morgan, Co-Founder</w:t>
            </w:r>
          </w:p>
          <w:p>
            <w:pPr>
              <w:pBdr>
                <w:top w:val="single" w:color="0F1115" w:sz="4" w:space="2"/>
              </w:pBdr>
              <w:spacing w:after="60" w:before="480"/>
            </w:pPr>
            <w:r>
              <w:rPr>
                <w:rFonts w:ascii="Calibri" w:cs="Calibri" w:eastAsia="Calibri" w:hAnsi="Calibri"/>
                <w:color w:val="5A5F66"/>
                <w:sz w:val="20"/>
                <w:szCs w:val="20"/>
              </w:rPr>
              <w:t xml:space="preserve">Date</w:t>
            </w:r>
          </w:p>
        </w:tc>
        <w:tc>
          <w:tcPr>
            <w:tcW w:type="pct" w:w="50%"/>
            <w:tcMar>
              <w:left w:type="dxa" w:w="300"/>
            </w:tcMar>
          </w:tcPr>
          <w:p>
            <w:pPr>
              <w:spacing w:after="160" w:line="300"/>
            </w:pPr>
            <w:r>
              <w:rPr>
                <w:rFonts w:ascii="Calibri" w:cs="Calibri" w:eastAsia="Calibri" w:hAnsi="Calibri"/>
                <w:b/>
                <w:bCs/>
                <w:i w:val="false"/>
                <w:iCs w:val="false"/>
                <w:color w:val="0F1115"/>
                <w:sz w:val="22"/>
                <w:szCs w:val="22"/>
              </w:rPr>
              <w:t xml:space="preserve">Sample Plumbing Company LLC</w:t>
            </w:r>
          </w:p>
          <w:p>
            <w:pPr>
              <w:pBdr>
                <w:top w:val="single" w:color="0F1115" w:sz="4" w:space="2"/>
              </w:pBdr>
              <w:spacing w:after="60" w:before="480"/>
            </w:pPr>
            <w:r>
              <w:rPr>
                <w:rFonts w:ascii="Calibri" w:cs="Calibri" w:eastAsia="Calibri" w:hAnsi="Calibri"/>
                <w:color w:val="5A5F66"/>
                <w:sz w:val="20"/>
                <w:szCs w:val="20"/>
              </w:rPr>
              <w:t xml:space="preserve">Signature</w:t>
            </w:r>
          </w:p>
          <w:p>
            <w:pPr>
              <w:spacing w:after="160" w:line="300"/>
            </w:pPr>
            <w:r>
              <w:rPr>
                <w:rFonts w:ascii="Calibri" w:cs="Calibri" w:eastAsia="Calibri" w:hAnsi="Calibri"/>
                <w:b w:val="false"/>
                <w:bCs w:val="false"/>
                <w:i w:val="false"/>
                <w:iCs w:val="false"/>
                <w:color w:val="0F1115"/>
                <w:sz w:val="22"/>
                <w:szCs w:val="22"/>
              </w:rPr>
              <w:t xml:space="preserve">Jane Sample, Owner</w:t>
            </w:r>
          </w:p>
          <w:p>
            <w:pPr>
              <w:pBdr>
                <w:top w:val="single" w:color="0F1115" w:sz="4" w:space="2"/>
              </w:pBdr>
              <w:spacing w:after="60" w:before="480"/>
            </w:pPr>
            <w:r>
              <w:rPr>
                <w:rFonts w:ascii="Calibri" w:cs="Calibri" w:eastAsia="Calibri" w:hAnsi="Calibri"/>
                <w:color w:val="5A5F66"/>
                <w:sz w:val="20"/>
                <w:szCs w:val="20"/>
              </w:rPr>
              <w:t xml:space="preserve">Date</w:t>
            </w:r>
          </w:p>
        </w:tc>
      </w:tr>
    </w:tbl>
    <w:sectPr>
      <w:pgSz w:w="11906" w:h="16838" w:orient="portrait"/>
      <w:pgMar w:top="1080" w:right="1240" w:bottom="1080" w:left="12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F1115"/>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Work - Sample Plumbing Co.</dc:title>
  <dc:creator>MagisterDigital.ai</dc:creator>
  <cp:lastModifiedBy>Un-named</cp:lastModifiedBy>
  <cp:revision>1</cp:revision>
  <dcterms:created xsi:type="dcterms:W3CDTF">2026-06-11T03:38:08.660Z</dcterms:created>
  <dcterms:modified xsi:type="dcterms:W3CDTF">2026-06-11T03:38:08.660Z</dcterms:modified>
</cp:coreProperties>
</file>

<file path=docProps/custom.xml><?xml version="1.0" encoding="utf-8"?>
<Properties xmlns="http://schemas.openxmlformats.org/officeDocument/2006/custom-properties" xmlns:vt="http://schemas.openxmlformats.org/officeDocument/2006/docPropsVTypes"/>
</file>